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1A4A" w14:textId="77777777" w:rsidR="00EA6917" w:rsidRPr="002D1342" w:rsidRDefault="00EA6917" w:rsidP="00EA6917">
      <w:pPr>
        <w:pStyle w:val="Heading4"/>
        <w:spacing w:after="240"/>
      </w:pPr>
      <w:bookmarkStart w:id="0" w:name="_Hlk71636093"/>
      <w:bookmarkStart w:id="1" w:name="_Hlk81479703"/>
      <w:r>
        <w:t>PSE Drop-In Text 1</w:t>
      </w:r>
    </w:p>
    <w:p w14:paraId="2DEB5589" w14:textId="77777777" w:rsidR="00EA6917" w:rsidRPr="000947A1" w:rsidRDefault="00EA6917" w:rsidP="00EA6917">
      <w:pPr>
        <w:rPr>
          <w:b/>
          <w:bCs/>
          <w:i/>
          <w:iCs/>
        </w:rPr>
      </w:pPr>
      <w:bookmarkStart w:id="2" w:name="_Hlk111811744"/>
      <w:r w:rsidRPr="000947A1">
        <w:rPr>
          <w:b/>
          <w:bCs/>
          <w:i/>
          <w:iCs/>
        </w:rPr>
        <w:t xml:space="preserve">Steps to Maximizing Efficiency for Medicare Wellness Visits </w:t>
      </w:r>
    </w:p>
    <w:p w14:paraId="383D3BA4" w14:textId="77777777" w:rsidR="00EA6917" w:rsidRDefault="00EA6917" w:rsidP="00EA6917">
      <w:hyperlink r:id="rId7" w:history="1">
        <w:r w:rsidRPr="002D1974">
          <w:rPr>
            <w:rStyle w:val="Hyperlink"/>
          </w:rPr>
          <w:t xml:space="preserve">Medicare </w:t>
        </w:r>
        <w:r>
          <w:rPr>
            <w:rStyle w:val="Hyperlink"/>
          </w:rPr>
          <w:t>w</w:t>
        </w:r>
        <w:r w:rsidRPr="002D1974">
          <w:rPr>
            <w:rStyle w:val="Hyperlink"/>
          </w:rPr>
          <w:t xml:space="preserve">ellness </w:t>
        </w:r>
        <w:r>
          <w:rPr>
            <w:rStyle w:val="Hyperlink"/>
          </w:rPr>
          <w:t>v</w:t>
        </w:r>
        <w:r w:rsidRPr="002D1974">
          <w:rPr>
            <w:rStyle w:val="Hyperlink"/>
          </w:rPr>
          <w:t>isits</w:t>
        </w:r>
      </w:hyperlink>
      <w:r>
        <w:t xml:space="preserve"> provide an opportunity to </w:t>
      </w:r>
      <w:r w:rsidRPr="00257D00">
        <w:t>identify</w:t>
      </w:r>
      <w:r w:rsidDel="005C3147">
        <w:t xml:space="preserve"> </w:t>
      </w:r>
      <w:r w:rsidRPr="00257D00">
        <w:t xml:space="preserve">illness and </w:t>
      </w:r>
      <w:r>
        <w:t>to plan</w:t>
      </w:r>
      <w:r w:rsidRPr="00257D00">
        <w:t xml:space="preserve"> for other preventive services</w:t>
      </w:r>
      <w:r>
        <w:t xml:space="preserve">. There are 3 types of visits covered by Medicare: </w:t>
      </w:r>
    </w:p>
    <w:p w14:paraId="2025D860" w14:textId="77777777" w:rsidR="00EA6917" w:rsidRDefault="00EA6917" w:rsidP="00EA6917">
      <w:pPr>
        <w:pStyle w:val="ListParagraph"/>
        <w:numPr>
          <w:ilvl w:val="0"/>
          <w:numId w:val="3"/>
        </w:numPr>
      </w:pPr>
      <w:r>
        <w:t xml:space="preserve">Initial Preventive Physical Exam </w:t>
      </w:r>
    </w:p>
    <w:p w14:paraId="66EA8D86" w14:textId="77777777" w:rsidR="00EA6917" w:rsidRDefault="00EA6917" w:rsidP="00EA6917">
      <w:pPr>
        <w:pStyle w:val="ListParagraph"/>
        <w:numPr>
          <w:ilvl w:val="0"/>
          <w:numId w:val="3"/>
        </w:numPr>
      </w:pPr>
      <w:r>
        <w:t xml:space="preserve">Initial Annual Wellness Visit (AWV) </w:t>
      </w:r>
    </w:p>
    <w:p w14:paraId="4F4445CA" w14:textId="77777777" w:rsidR="00EA6917" w:rsidRDefault="00EA6917" w:rsidP="00EA6917">
      <w:pPr>
        <w:pStyle w:val="ListParagraph"/>
        <w:numPr>
          <w:ilvl w:val="0"/>
          <w:numId w:val="3"/>
        </w:numPr>
      </w:pPr>
      <w:r>
        <w:t>Subsequent AWVs</w:t>
      </w:r>
    </w:p>
    <w:p w14:paraId="093636BF" w14:textId="77777777" w:rsidR="00EA6917" w:rsidRDefault="00EA6917" w:rsidP="00EA6917">
      <w:r>
        <w:t xml:space="preserve">To help reduce claims denials, check </w:t>
      </w:r>
      <w:r w:rsidRPr="00E32BC5">
        <w:t xml:space="preserve">out </w:t>
      </w:r>
      <w:hyperlink r:id="rId8" w:history="1">
        <w:r w:rsidRPr="00E32BC5">
          <w:rPr>
            <w:rStyle w:val="Hyperlink"/>
          </w:rPr>
          <w:t>this video</w:t>
        </w:r>
      </w:hyperlink>
      <w:r>
        <w:t xml:space="preserve"> summarizing the components of each visit, when to offer them, and which billing codes to use when submitting claims for them. This downloadable </w:t>
      </w:r>
      <w:hyperlink r:id="rId9" w:history="1">
        <w:r w:rsidRPr="005C3147">
          <w:rPr>
            <w:rStyle w:val="Hyperlink"/>
          </w:rPr>
          <w:t>flyer</w:t>
        </w:r>
      </w:hyperlink>
      <w:r>
        <w:t xml:space="preserve"> provides the information and tools you need to successfully submit claims and to gain </w:t>
      </w:r>
      <w:r>
        <w:rPr>
          <w:rStyle w:val="Strong"/>
        </w:rPr>
        <w:t>efficiencies in time and resources</w:t>
      </w:r>
      <w:r w:rsidRPr="00170EB4">
        <w:rPr>
          <w:rStyle w:val="Strong"/>
        </w:rPr>
        <w:t xml:space="preserve"> </w:t>
      </w:r>
      <w:r>
        <w:rPr>
          <w:rStyle w:val="Strong"/>
        </w:rPr>
        <w:t>spent on every visit</w:t>
      </w:r>
      <w:r w:rsidRPr="00EA6917">
        <w:rPr>
          <w:rStyle w:val="Hyperlink"/>
          <w:u w:val="none"/>
        </w:rPr>
        <w:t>.</w:t>
      </w:r>
      <w:r w:rsidRPr="00EA6917">
        <w:t xml:space="preserve"> </w:t>
      </w:r>
    </w:p>
    <w:bookmarkEnd w:id="2"/>
    <w:p w14:paraId="4A054550" w14:textId="77777777" w:rsidR="00AB115B" w:rsidRDefault="00AB115B" w:rsidP="00AB115B">
      <w:pPr>
        <w:spacing w:after="0"/>
        <w:rPr>
          <w:rFonts w:cstheme="minorHAnsi"/>
          <w:iCs/>
        </w:rPr>
      </w:pPr>
    </w:p>
    <w:bookmarkEnd w:id="0"/>
    <w:bookmarkEnd w:id="1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8DC"/>
    <w:multiLevelType w:val="hybridMultilevel"/>
    <w:tmpl w:val="540A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2"/>
  </w:num>
  <w:num w:numId="2" w16cid:durableId="675576951">
    <w:abstractNumId w:val="1"/>
  </w:num>
  <w:num w:numId="3" w16cid:durableId="76631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501E4"/>
    <w:rsid w:val="001D28E4"/>
    <w:rsid w:val="00241B92"/>
    <w:rsid w:val="0026393D"/>
    <w:rsid w:val="00392ADA"/>
    <w:rsid w:val="00420B5F"/>
    <w:rsid w:val="008973F9"/>
    <w:rsid w:val="00A551E3"/>
    <w:rsid w:val="00AB115B"/>
    <w:rsid w:val="00DA692D"/>
    <w:rsid w:val="00EA6917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1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  <w:style w:type="paragraph" w:customStyle="1" w:styleId="L3HRSA">
    <w:name w:val="L3_HRSA"/>
    <w:basedOn w:val="Normal"/>
    <w:autoRedefine/>
    <w:qFormat/>
    <w:rsid w:val="001501E4"/>
    <w:pPr>
      <w:keepNext/>
      <w:keepLines/>
      <w:spacing w:before="120" w:after="0" w:line="240" w:lineRule="auto"/>
      <w:contextualSpacing/>
      <w:outlineLvl w:val="1"/>
    </w:pPr>
    <w:rPr>
      <w:rFonts w:eastAsia="Times New Roman" w:cstheme="minorHAnsi"/>
      <w:b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0B5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A6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sU2SdqPpv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Outreach-and-Education/Medicare-Learning-Network-MLN/MLNProducts/preventive-services/medicare-wellness-visi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smedicare.com/pdf/j15/innovations/p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2022-08-19T18:29:00Z</dcterms:created>
  <dcterms:modified xsi:type="dcterms:W3CDTF">2022-08-19T18:29:00Z</dcterms:modified>
</cp:coreProperties>
</file>